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D7" w:rsidRPr="00AF62D7" w:rsidRDefault="00AF62D7" w:rsidP="00AF62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76B6D"/>
          <w:sz w:val="28"/>
          <w:szCs w:val="28"/>
          <w:lang w:eastAsia="pl-PL"/>
        </w:rPr>
      </w:pPr>
      <w:r w:rsidRPr="00AF62D7">
        <w:rPr>
          <w:rFonts w:ascii="Arial" w:eastAsia="Times New Roman" w:hAnsi="Arial" w:cs="Arial"/>
          <w:b/>
          <w:color w:val="676B6D"/>
          <w:sz w:val="28"/>
          <w:szCs w:val="28"/>
          <w:lang w:eastAsia="pl-PL"/>
        </w:rPr>
        <w:t>OPIS TECHNICZNY METODY</w:t>
      </w:r>
    </w:p>
    <w:p w:rsidR="00C60F1B" w:rsidRDefault="00C60F1B"/>
    <w:p w:rsidR="00AF62D7" w:rsidRPr="00AF62D7" w:rsidRDefault="00AF62D7" w:rsidP="00AF62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Spawanie TIG polega na tym, że ciepło wydzielające się podczas jarzenia się łuku pomiędzy elektrodą nietopliwą, a materiałem spawanym powoduje stapianie brzegów elementów łączonych i spoiwa, które po ostygnięciu tworzy trwałe złącze spawane. Spawanie prowadzi się w osłonie gazu obojętnego (najczęściej argonu, ale czasem używany jest hel). Elektrody nietopliwe są wykonane z wolframu lub jego stopów.</w:t>
      </w:r>
    </w:p>
    <w:p w:rsidR="00AF62D7" w:rsidRPr="00AF62D7" w:rsidRDefault="00AF62D7" w:rsidP="00AF62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Do zalet spawania TIG zalicza się:</w:t>
      </w:r>
    </w:p>
    <w:p w:rsidR="00AF62D7" w:rsidRPr="00AF62D7" w:rsidRDefault="00AF62D7" w:rsidP="00AF62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wysoka jakość złączy spawanych</w:t>
      </w:r>
    </w:p>
    <w:p w:rsidR="00AF62D7" w:rsidRPr="00AF62D7" w:rsidRDefault="00AF62D7" w:rsidP="00AF62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możliwość łączenia prawie wszystkich metali i ich stopów</w:t>
      </w:r>
    </w:p>
    <w:p w:rsidR="00AF62D7" w:rsidRPr="00AF62D7" w:rsidRDefault="00AF62D7" w:rsidP="00AF62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możliwość precyzyjnego sterowania ilością wprowadzanego ciepła oraz materiału dodatkowego</w:t>
      </w:r>
    </w:p>
    <w:p w:rsidR="00AF62D7" w:rsidRPr="00AF62D7" w:rsidRDefault="00AF62D7" w:rsidP="00AF62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brak rozprysku</w:t>
      </w:r>
    </w:p>
    <w:p w:rsidR="00AF62D7" w:rsidRPr="00AF62D7" w:rsidRDefault="00AF62D7" w:rsidP="00AF62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możliwość spawania ze spoiwem i bez</w:t>
      </w:r>
    </w:p>
    <w:p w:rsidR="00AF62D7" w:rsidRPr="00AF62D7" w:rsidRDefault="00AF62D7" w:rsidP="00AF62D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tanie urządzenia</w:t>
      </w:r>
    </w:p>
    <w:p w:rsidR="00AF62D7" w:rsidRPr="00AF62D7" w:rsidRDefault="00AF62D7" w:rsidP="00AF62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Do wad należą:</w:t>
      </w:r>
    </w:p>
    <w:p w:rsidR="00AF62D7" w:rsidRPr="00AF62D7" w:rsidRDefault="00AF62D7" w:rsidP="00AF62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mała wydajność procesu</w:t>
      </w:r>
    </w:p>
    <w:p w:rsidR="00AF62D7" w:rsidRPr="00AF62D7" w:rsidRDefault="00AF62D7" w:rsidP="00AF62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wymagane bardzo wysokie umiejętności spawacza</w:t>
      </w:r>
    </w:p>
    <w:p w:rsidR="00AF62D7" w:rsidRPr="00AF62D7" w:rsidRDefault="00AF62D7" w:rsidP="00AF62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Podstawowe parametry to:</w:t>
      </w:r>
    </w:p>
    <w:p w:rsidR="00AF62D7" w:rsidRPr="00AF62D7" w:rsidRDefault="00AF62D7" w:rsidP="00AF62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Rodzaj i natężenie prądu</w:t>
      </w:r>
    </w:p>
    <w:p w:rsidR="00AF62D7" w:rsidRPr="00AF62D7" w:rsidRDefault="00AF62D7" w:rsidP="00AF62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Napięcie łuku</w:t>
      </w:r>
    </w:p>
    <w:p w:rsidR="00AF62D7" w:rsidRPr="00AF62D7" w:rsidRDefault="00AF62D7" w:rsidP="00AF62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Rodzaj i natężenie przepływu gazu ochronnego</w:t>
      </w:r>
    </w:p>
    <w:p w:rsidR="00AF62D7" w:rsidRPr="00AF62D7" w:rsidRDefault="00AF62D7" w:rsidP="00AF62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szybkość spawania</w:t>
      </w:r>
    </w:p>
    <w:p w:rsidR="00AF62D7" w:rsidRPr="00AF62D7" w:rsidRDefault="00AF62D7" w:rsidP="00AF62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rodzaj i średnica elektrody nietopliwej</w:t>
      </w:r>
    </w:p>
    <w:p w:rsidR="00AF62D7" w:rsidRPr="00AF62D7" w:rsidRDefault="00AF62D7" w:rsidP="00AF62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średnica materiału dodatkowego</w:t>
      </w:r>
    </w:p>
    <w:p w:rsidR="00AF62D7" w:rsidRPr="00AF62D7" w:rsidRDefault="00AF62D7" w:rsidP="00AF62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Pręty do spawania metodą TIG najczęściej sprzedawane są w średnicach:</w:t>
      </w:r>
    </w:p>
    <w:p w:rsidR="00AF62D7" w:rsidRPr="00AF62D7" w:rsidRDefault="00AF62D7" w:rsidP="00AF62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1,6 mm</w:t>
      </w:r>
    </w:p>
    <w:p w:rsidR="00AF62D7" w:rsidRPr="00AF62D7" w:rsidRDefault="00AF62D7" w:rsidP="00AF62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2,0 mm</w:t>
      </w:r>
    </w:p>
    <w:p w:rsidR="00AF62D7" w:rsidRPr="00AF62D7" w:rsidRDefault="00AF62D7" w:rsidP="00AF62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2,4 mm</w:t>
      </w:r>
    </w:p>
    <w:p w:rsidR="00AF62D7" w:rsidRDefault="00AF62D7" w:rsidP="00AF62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3,2 mm</w:t>
      </w:r>
    </w:p>
    <w:p w:rsidR="00AF62D7" w:rsidRDefault="00AF62D7" w:rsidP="00AF6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</w:p>
    <w:p w:rsidR="00AF62D7" w:rsidRPr="00AF62D7" w:rsidRDefault="00AF62D7" w:rsidP="00AF6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</w:p>
    <w:p w:rsidR="00AF62D7" w:rsidRPr="00AF62D7" w:rsidRDefault="00AF62D7" w:rsidP="00AF62D7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676B6D"/>
          <w:sz w:val="28"/>
          <w:szCs w:val="28"/>
          <w:lang w:eastAsia="pl-PL"/>
        </w:rPr>
      </w:pPr>
      <w:r w:rsidRPr="00AF62D7">
        <w:rPr>
          <w:rFonts w:ascii="Arial" w:eastAsia="Times New Roman" w:hAnsi="Arial" w:cs="Arial"/>
          <w:b/>
          <w:color w:val="676B6D"/>
          <w:sz w:val="28"/>
          <w:szCs w:val="28"/>
          <w:lang w:eastAsia="pl-PL"/>
        </w:rPr>
        <w:t>SZKOLENIE I EGZAMIN</w:t>
      </w:r>
    </w:p>
    <w:p w:rsidR="00AF62D7" w:rsidRPr="00AF62D7" w:rsidRDefault="00AF62D7" w:rsidP="00AF62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 xml:space="preserve">Szkolenie realizowane jest </w:t>
      </w:r>
      <w:r>
        <w:rPr>
          <w:rFonts w:ascii="Arial" w:eastAsia="Times New Roman" w:hAnsi="Arial" w:cs="Arial"/>
          <w:color w:val="676B6D"/>
          <w:sz w:val="16"/>
          <w:szCs w:val="16"/>
          <w:lang w:eastAsia="pl-PL"/>
        </w:rPr>
        <w:t xml:space="preserve">przez TUV </w:t>
      </w:r>
      <w:proofErr w:type="spellStart"/>
      <w:r>
        <w:rPr>
          <w:rFonts w:ascii="Arial" w:eastAsia="Times New Roman" w:hAnsi="Arial" w:cs="Arial"/>
          <w:color w:val="676B6D"/>
          <w:sz w:val="16"/>
          <w:szCs w:val="16"/>
          <w:lang w:eastAsia="pl-PL"/>
        </w:rPr>
        <w:t>Thuringen</w:t>
      </w:r>
      <w:proofErr w:type="spellEnd"/>
      <w:r>
        <w:rPr>
          <w:rFonts w:ascii="Arial" w:eastAsia="Times New Roman" w:hAnsi="Arial" w:cs="Arial"/>
          <w:color w:val="676B6D"/>
          <w:sz w:val="16"/>
          <w:szCs w:val="16"/>
          <w:lang w:eastAsia="pl-PL"/>
        </w:rPr>
        <w:t xml:space="preserve"> Polska</w:t>
      </w: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 xml:space="preserve"> co zapewnia właściwe przygotowanie do egzaminu pod względem praktycznym i merytorycznym.</w:t>
      </w:r>
    </w:p>
    <w:p w:rsidR="00AF62D7" w:rsidRPr="00AF62D7" w:rsidRDefault="00AF62D7" w:rsidP="00AF62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Program kursu:</w:t>
      </w:r>
    </w:p>
    <w:p w:rsidR="00AF62D7" w:rsidRPr="00AF62D7" w:rsidRDefault="00AF62D7" w:rsidP="00AF62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Spawanie blach i rur spoinami pachwinowymi</w:t>
      </w:r>
    </w:p>
    <w:p w:rsidR="00AF62D7" w:rsidRPr="00AF62D7" w:rsidRDefault="00AF62D7" w:rsidP="00AF6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Zastosowanie elektryczności do spawania łukowego.</w:t>
      </w:r>
    </w:p>
    <w:p w:rsidR="00AF62D7" w:rsidRPr="00AF62D7" w:rsidRDefault="00AF62D7" w:rsidP="00AF6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Urządzenia spawalnicze.</w:t>
      </w:r>
    </w:p>
    <w:p w:rsidR="00AF62D7" w:rsidRPr="00AF62D7" w:rsidRDefault="00AF62D7" w:rsidP="00AF6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Bezpieczeństwo i higiena pracy.</w:t>
      </w:r>
    </w:p>
    <w:p w:rsidR="00AF62D7" w:rsidRPr="00AF62D7" w:rsidRDefault="00AF62D7" w:rsidP="00AF6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Bezpieczna praca na hali produkcyjnej.</w:t>
      </w:r>
    </w:p>
    <w:p w:rsidR="00AF62D7" w:rsidRPr="00AF62D7" w:rsidRDefault="00AF62D7" w:rsidP="00AF6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Materiały dodatkowe do spawania.</w:t>
      </w:r>
    </w:p>
    <w:p w:rsidR="00AF62D7" w:rsidRPr="00AF62D7" w:rsidRDefault="00AF62D7" w:rsidP="00AF6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Spawanie w praktyce.</w:t>
      </w:r>
    </w:p>
    <w:p w:rsidR="00AF62D7" w:rsidRPr="00AF62D7" w:rsidRDefault="00AF62D7" w:rsidP="00AF6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Oznaczenie i wymiarowanie spoin.</w:t>
      </w:r>
    </w:p>
    <w:p w:rsidR="00AF62D7" w:rsidRPr="00AF62D7" w:rsidRDefault="00AF62D7" w:rsidP="00AF6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Metody przygotowania złączy do spawania.</w:t>
      </w:r>
    </w:p>
    <w:p w:rsidR="00AF62D7" w:rsidRPr="00AF62D7" w:rsidRDefault="00AF62D7" w:rsidP="00AF6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Kwalifikowanie spawaczy.</w:t>
      </w:r>
    </w:p>
    <w:p w:rsidR="00AF62D7" w:rsidRPr="00AF62D7" w:rsidRDefault="00AF62D7" w:rsidP="00AF6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Zajęcia praktyczne.</w:t>
      </w:r>
    </w:p>
    <w:p w:rsidR="00AF62D7" w:rsidRPr="00AF62D7" w:rsidRDefault="00AF62D7" w:rsidP="00AF62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Spawanie blach spoinami czołowymi</w:t>
      </w:r>
    </w:p>
    <w:p w:rsidR="00AF62D7" w:rsidRPr="00AF62D7" w:rsidRDefault="00AF62D7" w:rsidP="00AF6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lastRenderedPageBreak/>
        <w:t>Wprowadzenie do zagadnień wytwarzania stali.</w:t>
      </w:r>
    </w:p>
    <w:p w:rsidR="00AF62D7" w:rsidRPr="00AF62D7" w:rsidRDefault="00AF62D7" w:rsidP="00AF6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Złącza spawane blach.</w:t>
      </w:r>
    </w:p>
    <w:p w:rsidR="00AF62D7" w:rsidRPr="00AF62D7" w:rsidRDefault="00AF62D7" w:rsidP="00AF6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Spawalność stali.</w:t>
      </w:r>
    </w:p>
    <w:p w:rsidR="00AF62D7" w:rsidRPr="00AF62D7" w:rsidRDefault="00AF62D7" w:rsidP="00AF6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Skurcz, naprężenie i odkształcenia.</w:t>
      </w:r>
    </w:p>
    <w:p w:rsidR="00AF62D7" w:rsidRPr="00AF62D7" w:rsidRDefault="00AF62D7" w:rsidP="00AF6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Niezgodności spawalnicze.</w:t>
      </w:r>
    </w:p>
    <w:p w:rsidR="00AF62D7" w:rsidRPr="00AF62D7" w:rsidRDefault="00AF62D7" w:rsidP="00AF6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Przegląd procesów spawania.</w:t>
      </w:r>
    </w:p>
    <w:p w:rsidR="00AF62D7" w:rsidRPr="00AF62D7" w:rsidRDefault="00AF62D7" w:rsidP="00AF6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Bezpieczna praca na montażu.</w:t>
      </w:r>
    </w:p>
    <w:p w:rsidR="00AF62D7" w:rsidRPr="00AF62D7" w:rsidRDefault="00AF62D7" w:rsidP="00AF6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Kontrola i badania.</w:t>
      </w:r>
    </w:p>
    <w:p w:rsidR="00AF62D7" w:rsidRPr="00AF62D7" w:rsidRDefault="00AF62D7" w:rsidP="00AF6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Zapewnienie jakości w spawalnictwie.</w:t>
      </w:r>
    </w:p>
    <w:p w:rsidR="00AF62D7" w:rsidRPr="00AF62D7" w:rsidRDefault="00AF62D7" w:rsidP="00AF6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Zajęcia praktyczne.</w:t>
      </w:r>
    </w:p>
    <w:p w:rsidR="00AF62D7" w:rsidRPr="00AF62D7" w:rsidRDefault="00AF62D7" w:rsidP="00AF62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Spawanie rur spoinami czołowymi</w:t>
      </w:r>
    </w:p>
    <w:p w:rsidR="00AF62D7" w:rsidRPr="00AF62D7" w:rsidRDefault="00AF62D7" w:rsidP="00AF62D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Złącza spawane rur.</w:t>
      </w:r>
    </w:p>
    <w:p w:rsidR="00AF62D7" w:rsidRPr="00AF62D7" w:rsidRDefault="00AF62D7" w:rsidP="00AF62D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Materiały inne niż stale niestopowe.</w:t>
      </w:r>
    </w:p>
    <w:p w:rsidR="00AF62D7" w:rsidRPr="00AF62D7" w:rsidRDefault="00AF62D7" w:rsidP="00AF62D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Przegląd i konsekwencje związane z awarią spawanych urządzeń.</w:t>
      </w:r>
    </w:p>
    <w:p w:rsidR="00AF62D7" w:rsidRPr="00AF62D7" w:rsidRDefault="00AF62D7" w:rsidP="00AF62D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Normy spawalnicze.</w:t>
      </w:r>
    </w:p>
    <w:p w:rsidR="00AF62D7" w:rsidRPr="00AF62D7" w:rsidRDefault="00AF62D7" w:rsidP="00AF62D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Zajęcia praktyczne.</w:t>
      </w:r>
    </w:p>
    <w:p w:rsidR="00AF62D7" w:rsidRPr="00AF62D7" w:rsidRDefault="00AF62D7" w:rsidP="00AF62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 xml:space="preserve">Uprawnienia spawalnicze wydaje </w:t>
      </w:r>
      <w:r>
        <w:rPr>
          <w:rFonts w:ascii="Arial" w:eastAsia="Times New Roman" w:hAnsi="Arial" w:cs="Arial"/>
          <w:color w:val="676B6D"/>
          <w:sz w:val="16"/>
          <w:szCs w:val="16"/>
          <w:lang w:eastAsia="pl-PL"/>
        </w:rPr>
        <w:t xml:space="preserve">TUV </w:t>
      </w:r>
      <w:proofErr w:type="spellStart"/>
      <w:r>
        <w:rPr>
          <w:rFonts w:ascii="Arial" w:eastAsia="Times New Roman" w:hAnsi="Arial" w:cs="Arial"/>
          <w:color w:val="676B6D"/>
          <w:sz w:val="16"/>
          <w:szCs w:val="16"/>
          <w:lang w:eastAsia="pl-PL"/>
        </w:rPr>
        <w:t>Thuringen</w:t>
      </w:r>
      <w:proofErr w:type="spellEnd"/>
      <w:r>
        <w:rPr>
          <w:rFonts w:ascii="Arial" w:eastAsia="Times New Roman" w:hAnsi="Arial" w:cs="Arial"/>
          <w:color w:val="676B6D"/>
          <w:sz w:val="16"/>
          <w:szCs w:val="16"/>
          <w:lang w:eastAsia="pl-PL"/>
        </w:rPr>
        <w:t xml:space="preserve"> Polska</w:t>
      </w: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 xml:space="preserve"> na podstawie pozytywnie zdanego egzaminu przed komisją egzaminacyjną, składającego się z:</w:t>
      </w:r>
    </w:p>
    <w:p w:rsidR="00AF62D7" w:rsidRPr="00AF62D7" w:rsidRDefault="00AF62D7" w:rsidP="00AF62D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egzaminu praktycznego – podczas, którego kursant wykonuje próbkę egzaminacyjną w metodzie, w której ubiega się o uprawnienia. Zaliczenie egzaminu praktycznego jest warunkiem przystąpienia do części teoretycznej.</w:t>
      </w:r>
    </w:p>
    <w:p w:rsidR="00AF62D7" w:rsidRPr="00AF62D7" w:rsidRDefault="00AF62D7" w:rsidP="00AF62D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egzaminu teoretycznego – przeprowadzanego w formie ustnej, zawierającego pytania z każdej dziedziny wiedzy zawartej w programie szkolenia.</w:t>
      </w:r>
      <w:r>
        <w:rPr>
          <w:rFonts w:ascii="Arial" w:eastAsia="Times New Roman" w:hAnsi="Arial" w:cs="Arial"/>
          <w:color w:val="676B6D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676B6D"/>
          <w:sz w:val="16"/>
          <w:szCs w:val="16"/>
          <w:lang w:eastAsia="pl-PL"/>
        </w:rPr>
        <w:t>Nieobowiazkowe</w:t>
      </w:r>
      <w:proofErr w:type="spellEnd"/>
      <w:r>
        <w:rPr>
          <w:rFonts w:ascii="Arial" w:eastAsia="Times New Roman" w:hAnsi="Arial" w:cs="Arial"/>
          <w:color w:val="676B6D"/>
          <w:sz w:val="16"/>
          <w:szCs w:val="16"/>
          <w:lang w:eastAsia="pl-PL"/>
        </w:rPr>
        <w:t>.</w:t>
      </w:r>
    </w:p>
    <w:p w:rsidR="00AF62D7" w:rsidRPr="00AF62D7" w:rsidRDefault="00AF62D7" w:rsidP="00AF62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B6D"/>
          <w:sz w:val="16"/>
          <w:szCs w:val="16"/>
          <w:lang w:eastAsia="pl-PL"/>
        </w:rPr>
      </w:pPr>
      <w:r w:rsidRPr="00AF62D7">
        <w:rPr>
          <w:rFonts w:ascii="Arial" w:eastAsia="Times New Roman" w:hAnsi="Arial" w:cs="Arial"/>
          <w:color w:val="676B6D"/>
          <w:sz w:val="16"/>
          <w:szCs w:val="16"/>
          <w:lang w:eastAsia="pl-PL"/>
        </w:rPr>
        <w:t>Egzamin odbywa się na terenie ośrodka.</w:t>
      </w:r>
    </w:p>
    <w:p w:rsidR="00AF62D7" w:rsidRDefault="00AF62D7"/>
    <w:sectPr w:rsidR="00AF62D7" w:rsidSect="00C6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87F"/>
    <w:multiLevelType w:val="multilevel"/>
    <w:tmpl w:val="B54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F3257"/>
    <w:multiLevelType w:val="multilevel"/>
    <w:tmpl w:val="D70A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45035"/>
    <w:multiLevelType w:val="multilevel"/>
    <w:tmpl w:val="A984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A7B2A"/>
    <w:multiLevelType w:val="multilevel"/>
    <w:tmpl w:val="8D0A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832E91"/>
    <w:multiLevelType w:val="multilevel"/>
    <w:tmpl w:val="58DC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950BD8"/>
    <w:multiLevelType w:val="multilevel"/>
    <w:tmpl w:val="20EA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1660D6"/>
    <w:multiLevelType w:val="multilevel"/>
    <w:tmpl w:val="56FE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61383"/>
    <w:multiLevelType w:val="multilevel"/>
    <w:tmpl w:val="7B24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12E94"/>
    <w:multiLevelType w:val="multilevel"/>
    <w:tmpl w:val="2D1A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136CE5"/>
    <w:multiLevelType w:val="multilevel"/>
    <w:tmpl w:val="B828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979D6"/>
    <w:multiLevelType w:val="multilevel"/>
    <w:tmpl w:val="5F6C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BB50F9"/>
    <w:multiLevelType w:val="multilevel"/>
    <w:tmpl w:val="669C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F4953"/>
    <w:multiLevelType w:val="multilevel"/>
    <w:tmpl w:val="916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196E74"/>
    <w:multiLevelType w:val="multilevel"/>
    <w:tmpl w:val="4742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6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07DDB"/>
    <w:rsid w:val="00207DDB"/>
    <w:rsid w:val="00647D33"/>
    <w:rsid w:val="00AF62D7"/>
    <w:rsid w:val="00C6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F1B"/>
  </w:style>
  <w:style w:type="paragraph" w:styleId="Nagwek2">
    <w:name w:val="heading 2"/>
    <w:basedOn w:val="Normalny"/>
    <w:link w:val="Nagwek2Znak"/>
    <w:uiPriority w:val="9"/>
    <w:qFormat/>
    <w:rsid w:val="00207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07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7D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07D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7DD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07D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4873">
          <w:marLeft w:val="1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9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3</cp:revision>
  <dcterms:created xsi:type="dcterms:W3CDTF">2022-05-17T05:02:00Z</dcterms:created>
  <dcterms:modified xsi:type="dcterms:W3CDTF">2022-07-02T06:04:00Z</dcterms:modified>
</cp:coreProperties>
</file>